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3C8F1" w14:textId="313FDC61" w:rsidR="00EF72FD" w:rsidRPr="00013230" w:rsidRDefault="00EF72FD" w:rsidP="00C702F9">
      <w:pPr>
        <w:jc w:val="center"/>
        <w:rPr>
          <w:sz w:val="32"/>
          <w:szCs w:val="32"/>
          <w:u w:val="single"/>
        </w:rPr>
      </w:pPr>
      <w:r w:rsidRPr="00013230">
        <w:rPr>
          <w:b/>
          <w:bCs/>
          <w:sz w:val="32"/>
          <w:szCs w:val="32"/>
          <w:u w:val="single"/>
        </w:rPr>
        <w:t>Annex F – GP referral pathway engagement activity</w:t>
      </w:r>
    </w:p>
    <w:p w14:paraId="7505F4D2" w14:textId="77777777" w:rsidR="00C702F9" w:rsidRPr="00013230" w:rsidRDefault="00EF72FD">
      <w:pPr>
        <w:rPr>
          <w:sz w:val="24"/>
          <w:szCs w:val="24"/>
        </w:rPr>
      </w:pPr>
      <w:r w:rsidRPr="00013230">
        <w:rPr>
          <w:sz w:val="24"/>
          <w:szCs w:val="24"/>
        </w:rPr>
        <w:t xml:space="preserve">The initial engagement of Primary Care Networks (PCNs) and general practices in discussions on the rollout of GP referrals to the CPCS will often be facilitated by a range of ‘delivery partners’, including ‘Time for Care’ in some PCNs and regionally identified implementation leads in other areas, </w:t>
      </w:r>
      <w:proofErr w:type="spellStart"/>
      <w:r w:rsidRPr="00013230">
        <w:rPr>
          <w:sz w:val="24"/>
          <w:szCs w:val="24"/>
        </w:rPr>
        <w:t>eg.</w:t>
      </w:r>
      <w:proofErr w:type="spellEnd"/>
      <w:r w:rsidRPr="00013230">
        <w:rPr>
          <w:sz w:val="24"/>
          <w:szCs w:val="24"/>
        </w:rPr>
        <w:t xml:space="preserve"> CCG medicines optimisation teams, NHSE&amp;I project leads and LPCs. </w:t>
      </w:r>
    </w:p>
    <w:p w14:paraId="040D0827" w14:textId="79F632C0" w:rsidR="00EF72FD" w:rsidRPr="00013230" w:rsidRDefault="00EF72FD">
      <w:pPr>
        <w:rPr>
          <w:sz w:val="24"/>
          <w:szCs w:val="24"/>
        </w:rPr>
      </w:pPr>
      <w:r w:rsidRPr="00013230">
        <w:rPr>
          <w:sz w:val="24"/>
          <w:szCs w:val="24"/>
        </w:rPr>
        <w:t xml:space="preserve">For contractors to be able to claim the engagement and setup payment, the following activity will need to be </w:t>
      </w:r>
      <w:r w:rsidRPr="00013230">
        <w:rPr>
          <w:b/>
          <w:bCs/>
          <w:sz w:val="24"/>
          <w:szCs w:val="24"/>
        </w:rPr>
        <w:t>completed by 31st March 2021 and</w:t>
      </w:r>
      <w:r w:rsidRPr="00013230">
        <w:rPr>
          <w:sz w:val="24"/>
          <w:szCs w:val="24"/>
        </w:rPr>
        <w:t xml:space="preserve"> documented so it can be evidenced </w:t>
      </w:r>
      <w:proofErr w:type="gramStart"/>
      <w:r w:rsidRPr="00013230">
        <w:rPr>
          <w:sz w:val="24"/>
          <w:szCs w:val="24"/>
        </w:rPr>
        <w:t>at a later date</w:t>
      </w:r>
      <w:proofErr w:type="gramEnd"/>
      <w:r w:rsidRPr="00013230">
        <w:rPr>
          <w:sz w:val="24"/>
          <w:szCs w:val="24"/>
        </w:rPr>
        <w:t>:</w:t>
      </w:r>
    </w:p>
    <w:tbl>
      <w:tblPr>
        <w:tblStyle w:val="TableGrid"/>
        <w:tblW w:w="0" w:type="auto"/>
        <w:jc w:val="center"/>
        <w:tblLook w:val="04A0" w:firstRow="1" w:lastRow="0" w:firstColumn="1" w:lastColumn="0" w:noHBand="0" w:noVBand="1"/>
      </w:tblPr>
      <w:tblGrid>
        <w:gridCol w:w="988"/>
        <w:gridCol w:w="8028"/>
      </w:tblGrid>
      <w:tr w:rsidR="00C702F9" w:rsidRPr="00013230" w14:paraId="3121DC63" w14:textId="77777777" w:rsidTr="00C702F9">
        <w:trPr>
          <w:jc w:val="center"/>
        </w:trPr>
        <w:tc>
          <w:tcPr>
            <w:tcW w:w="988" w:type="dxa"/>
          </w:tcPr>
          <w:p w14:paraId="2D3373A4" w14:textId="74D4C16F" w:rsidR="00C702F9" w:rsidRPr="00013230" w:rsidRDefault="00C702F9" w:rsidP="00C702F9">
            <w:pPr>
              <w:ind w:left="306"/>
              <w:jc w:val="center"/>
              <w:rPr>
                <w:sz w:val="24"/>
                <w:szCs w:val="24"/>
              </w:rPr>
            </w:pPr>
            <w:r w:rsidRPr="00013230">
              <w:rPr>
                <w:noProof/>
                <w:sz w:val="24"/>
                <w:szCs w:val="24"/>
              </w:rPr>
              <mc:AlternateContent>
                <mc:Choice Requires="wps">
                  <w:drawing>
                    <wp:anchor distT="0" distB="0" distL="114300" distR="114300" simplePos="0" relativeHeight="251671552" behindDoc="0" locked="0" layoutInCell="1" allowOverlap="1" wp14:anchorId="210DC7C5" wp14:editId="37D6B08E">
                      <wp:simplePos x="0" y="0"/>
                      <wp:positionH relativeFrom="column">
                        <wp:posOffset>146050</wp:posOffset>
                      </wp:positionH>
                      <wp:positionV relativeFrom="paragraph">
                        <wp:posOffset>198120</wp:posOffset>
                      </wp:positionV>
                      <wp:extent cx="219075" cy="2381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19075" cy="2381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8DCAE4" id="Rectangle 8" o:spid="_x0000_s1026" style="position:absolute;margin-left:11.5pt;margin-top:15.6pt;width:17.25pt;height:18.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" fillcolor="white [3201]" strokecolor="#4472c4 [3204]" strokeweight="1pt"/>
                  </w:pict>
                </mc:Fallback>
              </mc:AlternateContent>
            </w:r>
          </w:p>
        </w:tc>
        <w:tc>
          <w:tcPr>
            <w:tcW w:w="8028" w:type="dxa"/>
          </w:tcPr>
          <w:p w14:paraId="6090E158" w14:textId="2DB5A97A" w:rsidR="00C702F9" w:rsidRPr="00013230" w:rsidRDefault="00C702F9" w:rsidP="00C702F9">
            <w:pPr>
              <w:ind w:left="306"/>
              <w:rPr>
                <w:sz w:val="24"/>
                <w:szCs w:val="24"/>
              </w:rPr>
            </w:pPr>
            <w:r w:rsidRPr="00013230">
              <w:rPr>
                <w:sz w:val="24"/>
                <w:szCs w:val="24"/>
              </w:rPr>
              <w:t>a. The contractor has participated in discussions with a delivery partner/LPC lead to explore how they might promote uptake of CPCS locally. This could include early exploration of options, through to discussing the planning process for rollout of the referral pathway;</w:t>
            </w:r>
          </w:p>
        </w:tc>
      </w:tr>
      <w:tr w:rsidR="00C702F9" w:rsidRPr="00013230" w14:paraId="47C898E9" w14:textId="77777777" w:rsidTr="00C702F9">
        <w:trPr>
          <w:jc w:val="center"/>
        </w:trPr>
        <w:tc>
          <w:tcPr>
            <w:tcW w:w="988" w:type="dxa"/>
          </w:tcPr>
          <w:p w14:paraId="4C03308C" w14:textId="7090726D" w:rsidR="00C702F9" w:rsidRPr="00013230" w:rsidRDefault="00C702F9" w:rsidP="00C702F9">
            <w:pPr>
              <w:ind w:left="306"/>
              <w:rPr>
                <w:sz w:val="24"/>
                <w:szCs w:val="24"/>
              </w:rPr>
            </w:pPr>
            <w:r w:rsidRPr="00013230">
              <w:rPr>
                <w:noProof/>
                <w:sz w:val="24"/>
                <w:szCs w:val="24"/>
              </w:rPr>
              <mc:AlternateContent>
                <mc:Choice Requires="wps">
                  <w:drawing>
                    <wp:anchor distT="0" distB="0" distL="114300" distR="114300" simplePos="0" relativeHeight="251663360" behindDoc="0" locked="0" layoutInCell="1" allowOverlap="1" wp14:anchorId="7082A0C7" wp14:editId="50E722E2">
                      <wp:simplePos x="0" y="0"/>
                      <wp:positionH relativeFrom="column">
                        <wp:posOffset>146050</wp:posOffset>
                      </wp:positionH>
                      <wp:positionV relativeFrom="paragraph">
                        <wp:posOffset>528955</wp:posOffset>
                      </wp:positionV>
                      <wp:extent cx="219075" cy="238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2381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AA74F6" id="Rectangle 1" o:spid="_x0000_s1026" style="position:absolute;margin-left:11.5pt;margin-top:41.65pt;width:17.2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" fillcolor="white [3201]" strokecolor="#4472c4 [3204]" strokeweight="1pt"/>
                  </w:pict>
                </mc:Fallback>
              </mc:AlternateContent>
            </w:r>
          </w:p>
        </w:tc>
        <w:tc>
          <w:tcPr>
            <w:tcW w:w="8028" w:type="dxa"/>
          </w:tcPr>
          <w:p w14:paraId="030C09A7" w14:textId="29E83342" w:rsidR="00C702F9" w:rsidRPr="00013230" w:rsidRDefault="00C702F9" w:rsidP="00C702F9">
            <w:pPr>
              <w:ind w:left="306"/>
              <w:rPr>
                <w:sz w:val="24"/>
                <w:szCs w:val="24"/>
              </w:rPr>
            </w:pPr>
            <w:r w:rsidRPr="00013230">
              <w:rPr>
                <w:sz w:val="24"/>
                <w:szCs w:val="24"/>
              </w:rPr>
              <w:t xml:space="preserve">b. The contractor has participated in meetings, which may be web-based and organised by others, to brief pharmacies and potentially general practices on the referral process which will be implemented, including how pharmacies will be involved in the pathway. Where a contractor has no representative available to attend a meeting at the time set, they should instead seek a briefing from the delivery partner/LPC lead on the matters discussed to ensure that they remain fully engaged with local </w:t>
            </w:r>
            <w:proofErr w:type="gramStart"/>
            <w:r w:rsidRPr="00013230">
              <w:rPr>
                <w:sz w:val="24"/>
                <w:szCs w:val="24"/>
              </w:rPr>
              <w:t>plans;</w:t>
            </w:r>
            <w:proofErr w:type="gramEnd"/>
          </w:p>
          <w:p w14:paraId="7B109F9F" w14:textId="77777777" w:rsidR="00C702F9" w:rsidRPr="00013230" w:rsidRDefault="00C702F9" w:rsidP="00C702F9">
            <w:pPr>
              <w:ind w:left="306"/>
              <w:rPr>
                <w:sz w:val="24"/>
                <w:szCs w:val="24"/>
              </w:rPr>
            </w:pPr>
          </w:p>
        </w:tc>
      </w:tr>
      <w:tr w:rsidR="00C702F9" w:rsidRPr="00013230" w14:paraId="723A10D5" w14:textId="77777777" w:rsidTr="00C702F9">
        <w:trPr>
          <w:jc w:val="center"/>
        </w:trPr>
        <w:tc>
          <w:tcPr>
            <w:tcW w:w="988" w:type="dxa"/>
          </w:tcPr>
          <w:p w14:paraId="55BBFE82" w14:textId="4C9A0C89" w:rsidR="00C702F9" w:rsidRPr="00013230" w:rsidRDefault="00C702F9" w:rsidP="00C702F9">
            <w:pPr>
              <w:ind w:left="306"/>
              <w:rPr>
                <w:sz w:val="24"/>
                <w:szCs w:val="24"/>
              </w:rPr>
            </w:pPr>
            <w:r w:rsidRPr="00013230">
              <w:rPr>
                <w:noProof/>
                <w:sz w:val="24"/>
                <w:szCs w:val="24"/>
              </w:rPr>
              <mc:AlternateContent>
                <mc:Choice Requires="wps">
                  <w:drawing>
                    <wp:anchor distT="0" distB="0" distL="114300" distR="114300" simplePos="0" relativeHeight="251665408" behindDoc="0" locked="0" layoutInCell="1" allowOverlap="1" wp14:anchorId="420CBE5F" wp14:editId="554AC329">
                      <wp:simplePos x="0" y="0"/>
                      <wp:positionH relativeFrom="column">
                        <wp:posOffset>147320</wp:posOffset>
                      </wp:positionH>
                      <wp:positionV relativeFrom="paragraph">
                        <wp:posOffset>292100</wp:posOffset>
                      </wp:positionV>
                      <wp:extent cx="219075" cy="2381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19075" cy="2381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155CBF" id="Rectangle 5" o:spid="_x0000_s1026" style="position:absolute;margin-left:11.6pt;margin-top:23pt;width:17.2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" fillcolor="white [3201]" strokecolor="#4472c4 [3204]" strokeweight="1pt"/>
                  </w:pict>
                </mc:Fallback>
              </mc:AlternateContent>
            </w:r>
          </w:p>
        </w:tc>
        <w:tc>
          <w:tcPr>
            <w:tcW w:w="8028" w:type="dxa"/>
          </w:tcPr>
          <w:p w14:paraId="023EE9D9" w14:textId="316A4A95" w:rsidR="00C702F9" w:rsidRPr="00013230" w:rsidRDefault="00C702F9" w:rsidP="00C702F9">
            <w:pPr>
              <w:ind w:left="306"/>
              <w:rPr>
                <w:sz w:val="24"/>
                <w:szCs w:val="24"/>
              </w:rPr>
            </w:pPr>
            <w:r w:rsidRPr="00013230">
              <w:rPr>
                <w:sz w:val="24"/>
                <w:szCs w:val="24"/>
              </w:rPr>
              <w:t xml:space="preserve">c. The contractor must ensure that relevant members of the pharmacy team have read and understood any briefing materials prepared locally by the PCN or delivery partners on the referral pathway and any rollout plans, to ensure the relevant details are </w:t>
            </w:r>
            <w:proofErr w:type="gramStart"/>
            <w:r w:rsidRPr="00013230">
              <w:rPr>
                <w:sz w:val="24"/>
                <w:szCs w:val="24"/>
              </w:rPr>
              <w:t>understood;</w:t>
            </w:r>
            <w:proofErr w:type="gramEnd"/>
          </w:p>
          <w:p w14:paraId="759F101D" w14:textId="77777777" w:rsidR="00C702F9" w:rsidRPr="00013230" w:rsidRDefault="00C702F9" w:rsidP="00C702F9">
            <w:pPr>
              <w:ind w:left="306"/>
              <w:rPr>
                <w:sz w:val="24"/>
                <w:szCs w:val="24"/>
              </w:rPr>
            </w:pPr>
          </w:p>
        </w:tc>
      </w:tr>
      <w:tr w:rsidR="00C702F9" w:rsidRPr="00013230" w14:paraId="21D71F39" w14:textId="77777777" w:rsidTr="00C702F9">
        <w:trPr>
          <w:jc w:val="center"/>
        </w:trPr>
        <w:tc>
          <w:tcPr>
            <w:tcW w:w="988" w:type="dxa"/>
          </w:tcPr>
          <w:p w14:paraId="6238CE11" w14:textId="7FC440F3" w:rsidR="00C702F9" w:rsidRPr="00013230" w:rsidRDefault="00C702F9" w:rsidP="00C702F9">
            <w:pPr>
              <w:ind w:left="306"/>
              <w:rPr>
                <w:sz w:val="24"/>
                <w:szCs w:val="24"/>
              </w:rPr>
            </w:pPr>
            <w:r w:rsidRPr="00013230">
              <w:rPr>
                <w:noProof/>
                <w:sz w:val="24"/>
                <w:szCs w:val="24"/>
              </w:rPr>
              <mc:AlternateContent>
                <mc:Choice Requires="wps">
                  <w:drawing>
                    <wp:anchor distT="0" distB="0" distL="114300" distR="114300" simplePos="0" relativeHeight="251667456" behindDoc="0" locked="0" layoutInCell="1" allowOverlap="1" wp14:anchorId="3F9F0E27" wp14:editId="54C5BFA9">
                      <wp:simplePos x="0" y="0"/>
                      <wp:positionH relativeFrom="column">
                        <wp:posOffset>147320</wp:posOffset>
                      </wp:positionH>
                      <wp:positionV relativeFrom="paragraph">
                        <wp:posOffset>214630</wp:posOffset>
                      </wp:positionV>
                      <wp:extent cx="219075" cy="2381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19075" cy="2381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679BBC" id="Rectangle 6" o:spid="_x0000_s1026" style="position:absolute;margin-left:11.6pt;margin-top:16.9pt;width:17.2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" fillcolor="white [3201]" strokecolor="#4472c4 [3204]" strokeweight="1pt"/>
                  </w:pict>
                </mc:Fallback>
              </mc:AlternateContent>
            </w:r>
          </w:p>
        </w:tc>
        <w:tc>
          <w:tcPr>
            <w:tcW w:w="8028" w:type="dxa"/>
          </w:tcPr>
          <w:p w14:paraId="38A4B596" w14:textId="281FACE6" w:rsidR="00C702F9" w:rsidRPr="00013230" w:rsidRDefault="00C702F9" w:rsidP="00C702F9">
            <w:pPr>
              <w:ind w:left="306"/>
              <w:rPr>
                <w:sz w:val="24"/>
                <w:szCs w:val="24"/>
              </w:rPr>
            </w:pPr>
            <w:r w:rsidRPr="00013230">
              <w:rPr>
                <w:sz w:val="24"/>
                <w:szCs w:val="24"/>
              </w:rPr>
              <w:t>d. The contractor should create an action plan for implementing the new referral pathway in the pharmacy, including ensuring their NHS CPCS standard operating procedure is updated to include the GP referral pathway and the associated record keeping and data capture requirements;</w:t>
            </w:r>
          </w:p>
        </w:tc>
      </w:tr>
      <w:tr w:rsidR="00C702F9" w:rsidRPr="00013230" w14:paraId="222DA72F" w14:textId="77777777" w:rsidTr="00C702F9">
        <w:trPr>
          <w:jc w:val="center"/>
        </w:trPr>
        <w:tc>
          <w:tcPr>
            <w:tcW w:w="988" w:type="dxa"/>
          </w:tcPr>
          <w:p w14:paraId="7BE61B30" w14:textId="78F5137F" w:rsidR="00C702F9" w:rsidRPr="00013230" w:rsidRDefault="00C702F9" w:rsidP="00C702F9">
            <w:pPr>
              <w:ind w:left="306"/>
              <w:rPr>
                <w:sz w:val="24"/>
                <w:szCs w:val="24"/>
              </w:rPr>
            </w:pPr>
            <w:r w:rsidRPr="00013230">
              <w:rPr>
                <w:noProof/>
                <w:sz w:val="24"/>
                <w:szCs w:val="24"/>
              </w:rPr>
              <mc:AlternateContent>
                <mc:Choice Requires="wps">
                  <w:drawing>
                    <wp:anchor distT="0" distB="0" distL="114300" distR="114300" simplePos="0" relativeHeight="251669504" behindDoc="0" locked="0" layoutInCell="1" allowOverlap="1" wp14:anchorId="449B3439" wp14:editId="3827BF5C">
                      <wp:simplePos x="0" y="0"/>
                      <wp:positionH relativeFrom="column">
                        <wp:posOffset>147320</wp:posOffset>
                      </wp:positionH>
                      <wp:positionV relativeFrom="paragraph">
                        <wp:posOffset>211455</wp:posOffset>
                      </wp:positionV>
                      <wp:extent cx="219075" cy="2381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19075" cy="2381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66EFB" id="Rectangle 7" o:spid="_x0000_s1026" style="position:absolute;margin-left:11.6pt;margin-top:16.65pt;width:17.25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" fillcolor="white [3201]" strokecolor="#4472c4 [3204]" strokeweight="1pt"/>
                  </w:pict>
                </mc:Fallback>
              </mc:AlternateContent>
            </w:r>
          </w:p>
        </w:tc>
        <w:tc>
          <w:tcPr>
            <w:tcW w:w="8028" w:type="dxa"/>
          </w:tcPr>
          <w:p w14:paraId="74074724" w14:textId="38464C33" w:rsidR="00C702F9" w:rsidRPr="00013230" w:rsidRDefault="00C702F9" w:rsidP="00C702F9">
            <w:pPr>
              <w:ind w:left="306"/>
              <w:rPr>
                <w:sz w:val="24"/>
                <w:szCs w:val="24"/>
              </w:rPr>
            </w:pPr>
            <w:r w:rsidRPr="00013230">
              <w:rPr>
                <w:sz w:val="24"/>
                <w:szCs w:val="24"/>
              </w:rPr>
              <w:t>e. The contractor must ensure that relevant members of the pharmacy team are fully briefed and have read and understood information within the updated NHS CPCS service specification and associated toolkit which is pertinent to their role.</w:t>
            </w:r>
          </w:p>
          <w:p w14:paraId="54D59E7B" w14:textId="77777777" w:rsidR="00C702F9" w:rsidRPr="00013230" w:rsidRDefault="00C702F9" w:rsidP="00C702F9">
            <w:pPr>
              <w:ind w:left="306"/>
              <w:rPr>
                <w:sz w:val="24"/>
                <w:szCs w:val="24"/>
              </w:rPr>
            </w:pPr>
          </w:p>
        </w:tc>
      </w:tr>
    </w:tbl>
    <w:p w14:paraId="1B2B32F5" w14:textId="2A6DDABE" w:rsidR="00EF72FD" w:rsidRDefault="00EF72FD">
      <w:r>
        <w:t xml:space="preserve"> </w:t>
      </w:r>
    </w:p>
    <w:p w14:paraId="27B2E413" w14:textId="0E37423F" w:rsidR="00C702F9" w:rsidRDefault="00C702F9"/>
    <w:sectPr w:rsidR="00C702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2FD"/>
    <w:rsid w:val="00013230"/>
    <w:rsid w:val="00071BB3"/>
    <w:rsid w:val="00490459"/>
    <w:rsid w:val="00C702F9"/>
    <w:rsid w:val="00D74AAA"/>
    <w:rsid w:val="00EB4CE6"/>
    <w:rsid w:val="00EF7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9A7D"/>
  <w15:chartTrackingRefBased/>
  <w15:docId w15:val="{5BB8AF84-4793-44F8-9C2F-B65C498B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49D44F8FA2084AA964C4E36FB120F4" ma:contentTypeVersion="6" ma:contentTypeDescription="Create a new document." ma:contentTypeScope="" ma:versionID="8369d3b52109fb5e4127f1f94ccc0154">
  <xsd:schema xmlns:xsd="http://www.w3.org/2001/XMLSchema" xmlns:xs="http://www.w3.org/2001/XMLSchema" xmlns:p="http://schemas.microsoft.com/office/2006/metadata/properties" xmlns:ns2="dd70855b-e2b6-43f5-87be-cc199fc416f9" xmlns:ns3="7779d0b0-9a73-4976-abf8-0088921316af" targetNamespace="http://schemas.microsoft.com/office/2006/metadata/properties" ma:root="true" ma:fieldsID="abdf45d46d3a57e6113e6200379efd72" ns2:_="" ns3:_="">
    <xsd:import namespace="dd70855b-e2b6-43f5-87be-cc199fc416f9"/>
    <xsd:import namespace="7779d0b0-9a73-4976-abf8-0088921316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0855b-e2b6-43f5-87be-cc199fc41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9d0b0-9a73-4976-abf8-0088921316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74ACA-07A5-4B0D-B695-BB3397D575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5B794B-FAA7-4622-95D3-4B9B30E890D9}">
  <ds:schemaRefs>
    <ds:schemaRef ds:uri="http://schemas.microsoft.com/sharepoint/v3/contenttype/forms"/>
  </ds:schemaRefs>
</ds:datastoreItem>
</file>

<file path=customXml/itemProps3.xml><?xml version="1.0" encoding="utf-8"?>
<ds:datastoreItem xmlns:ds="http://schemas.openxmlformats.org/officeDocument/2006/customXml" ds:itemID="{1D549701-C2C1-4D4D-B482-298F33D4C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0855b-e2b6-43f5-87be-cc199fc416f9"/>
    <ds:schemaRef ds:uri="7779d0b0-9a73-4976-abf8-008892131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Dean</dc:creator>
  <cp:keywords/>
  <dc:description/>
  <cp:lastModifiedBy>Dorset LPC</cp:lastModifiedBy>
  <cp:revision>2</cp:revision>
  <dcterms:created xsi:type="dcterms:W3CDTF">2021-03-04T11:14:00Z</dcterms:created>
  <dcterms:modified xsi:type="dcterms:W3CDTF">2021-03-04T11:14:00Z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0x0101000449D44F8FA2084AA964C4E36FB120F4</vt:lpwstr>
  </property>
</Properties>
</file>